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July 30,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CANNAE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1-38300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bl>
      <w:tblPr>
        <w:tblW w:w="6191" w:type="dxa"/>
        <w:jc w:val="center"/>
        <w:tblInd w:w="0" w:type="dxa"/>
        <w:tblLayout w:type="fixed"/>
        <w:tblCellMar>
          <w:top w:w="28" w:type="dxa"/>
          <w:left w:w="28" w:type="dxa"/>
          <w:bottom w:w="28" w:type="dxa"/>
          <w:right w:w="28" w:type="dxa"/>
        </w:tblCellMar>
      </w:tblPr>
      <w:tblGrid>
        <w:gridCol w:w="943"/>
        <w:gridCol w:w="831"/>
        <w:gridCol w:w="835"/>
        <w:gridCol w:w="109"/>
        <w:gridCol w:w="109"/>
        <w:gridCol w:w="109"/>
        <w:gridCol w:w="950"/>
        <w:gridCol w:w="950"/>
        <w:gridCol w:w="1355"/>
      </w:tblGrid>
      <w:tr>
        <w:trPr/>
        <w:tc>
          <w:tcPr>
            <w:tcW w:w="9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82-1273460</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1701 Village Center Circle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Las Vegas, Nevada 89134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(Addresses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(702) 323-7330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052" w:type="dxa"/>
        <w:jc w:val="center"/>
        <w:tblInd w:w="0" w:type="dxa"/>
        <w:tblLayout w:type="fixed"/>
        <w:tblCellMar>
          <w:top w:w="28" w:type="dxa"/>
          <w:left w:w="28" w:type="dxa"/>
          <w:bottom w:w="28" w:type="dxa"/>
          <w:right w:w="28" w:type="dxa"/>
        </w:tblCellMar>
      </w:tblPr>
      <w:tblGrid>
        <w:gridCol w:w="1347"/>
        <w:gridCol w:w="1178"/>
        <w:gridCol w:w="1194"/>
        <w:gridCol w:w="109"/>
        <w:gridCol w:w="109"/>
        <w:gridCol w:w="109"/>
        <w:gridCol w:w="419"/>
        <w:gridCol w:w="419"/>
        <w:gridCol w:w="421"/>
        <w:gridCol w:w="109"/>
        <w:gridCol w:w="109"/>
        <w:gridCol w:w="109"/>
        <w:gridCol w:w="1002"/>
        <w:gridCol w:w="1002"/>
        <w:gridCol w:w="1416"/>
      </w:tblGrid>
      <w:tr>
        <w:trPr/>
        <w:tc>
          <w:tcPr>
            <w:tcW w:w="13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Cannae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100"/>
        <w:jc w:val="left"/>
        <w:rPr/>
      </w:pPr>
      <w:r>
        <w:rPr>
          <w:rFonts w:ascii="Times New Roman;serif" w:hAnsi="Times New Roman;serif"/>
          <w:b w:val="false"/>
          <w:color w:val="000000"/>
          <w:sz w:val="20"/>
        </w:rPr>
        <w:t>Emerging growth company</w:t>
      </w:r>
      <w:r>
        <w:rPr>
          <w:color w:val="000000"/>
        </w:rPr>
        <w:t xml:space="preserve"> ☐ </w:t>
      </w:r>
    </w:p>
    <w:p>
      <w:pPr>
        <w:pStyle w:val="TextBody"/>
        <w:bidi w:val="0"/>
        <w:spacing w:lineRule="auto" w:line="288" w:before="100" w:after="10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2501"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369"/>
        <w:gridCol w:w="369"/>
        <w:gridCol w:w="52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Cannae Holdings, Inc. sold all of its interest in Watkins Holdings, LLC for cash proceeds of $90 million and on July 31, 2026 issued a press release announcing the sale. The full text of the press release is attached hereto as Exhibit 99.1 and is incorporated herein by reference.</w:t>
      </w:r>
    </w:p>
    <w:p>
      <w:pPr>
        <w:pStyle w:val="TextBody"/>
        <w:bidi w:val="0"/>
        <w:spacing w:before="0" w:after="0"/>
        <w:jc w:val="both"/>
        <w:rPr/>
      </w:pPr>
      <w:r>
        <w:rPr/>
      </w:r>
    </w:p>
    <w:tbl>
      <w:tblPr>
        <w:tblW w:w="4318"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55"/>
        <w:gridCol w:w="256"/>
        <w:gridCol w:w="109"/>
        <w:gridCol w:w="109"/>
        <w:gridCol w:w="109"/>
        <w:gridCol w:w="109"/>
        <w:gridCol w:w="109"/>
        <w:gridCol w:w="109"/>
        <w:gridCol w:w="109"/>
        <w:gridCol w:w="2508"/>
        <w:gridCol w:w="2508"/>
        <w:gridCol w:w="35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1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pressreleaseann.htm">
              <w:r>
                <w:rPr>
                  <w:rStyle w:val="InternetLink"/>
                  <w:rFonts w:ascii="Times New Roman;serif" w:hAnsi="Times New Roman;serif"/>
                  <w:b w:val="false"/>
                  <w:color w:val="0000FF"/>
                  <w:sz w:val="20"/>
                  <w:u w:val="single"/>
                </w:rPr>
                <w:t>Press Release</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86"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218"/>
        <w:gridCol w:w="218"/>
        <w:gridCol w:w="218"/>
        <w:gridCol w:w="275"/>
        <w:gridCol w:w="275"/>
        <w:gridCol w:w="275"/>
        <w:gridCol w:w="655"/>
        <w:gridCol w:w="655"/>
        <w:gridCol w:w="655"/>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Cannae Holdings, Inc.</w:t>
            </w:r>
          </w:p>
          <w:p>
            <w:pPr>
              <w:pStyle w:val="TableContents"/>
              <w:bidi w:val="0"/>
              <w:spacing w:lineRule="auto" w:line="240"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7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Brett A. Correia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1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A. Correia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00" w:after="283"/>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center"/>
        <w:rPr/>
      </w:pPr>
      <w:r>
        <w:rPr/>
      </w:r>
    </w:p>
    <w:p>
      <w:pPr>
        <w:pStyle w:val="TextBody"/>
        <w:bidi w:val="0"/>
        <w:spacing w:lineRule="auto" w:line="256" w:before="0" w:after="0"/>
        <w:jc w:val="center"/>
        <w:rPr>
          <w:rFonts w:ascii="Times New Roman;serif" w:hAnsi="Times New Roman;serif"/>
          <w:b/>
          <w:color w:val="000000"/>
          <w:sz w:val="32"/>
        </w:rPr>
      </w:pPr>
      <w:r>
        <w:rPr>
          <w:rFonts w:ascii="Times New Roman;serif" w:hAnsi="Times New Roman;serif"/>
          <w:b/>
          <w:color w:val="000000"/>
          <w:sz w:val="32"/>
        </w:rPr>
        <w:t>Cannae Holdings, Inc. Sells its Ownership Interest in The Watkins Company to KDSA Investment Partners</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i/>
          <w:color w:val="000000"/>
          <w:sz w:val="28"/>
        </w:rPr>
      </w:pPr>
      <w:r>
        <w:rPr>
          <w:rFonts w:ascii="Times New Roman;serif" w:hAnsi="Times New Roman;serif"/>
          <w:b w:val="false"/>
          <w:i/>
          <w:color w:val="000000"/>
          <w:sz w:val="28"/>
        </w:rPr>
        <w:t xml:space="preserve">~ Sale Represents Another Step in Cannae’s Portfolio Transformation </w:t>
      </w:r>
    </w:p>
    <w:p>
      <w:pPr>
        <w:pStyle w:val="TextBody"/>
        <w:bidi w:val="0"/>
        <w:spacing w:lineRule="auto" w:line="268" w:before="0" w:after="0"/>
        <w:jc w:val="center"/>
        <w:rPr>
          <w:rFonts w:ascii="Times New Roman;serif" w:hAnsi="Times New Roman;serif"/>
          <w:b w:val="false"/>
          <w:i/>
          <w:color w:val="000000"/>
          <w:sz w:val="28"/>
        </w:rPr>
      </w:pPr>
      <w:r>
        <w:rPr>
          <w:rFonts w:ascii="Times New Roman;serif" w:hAnsi="Times New Roman;serif"/>
          <w:b w:val="false"/>
          <w:i/>
          <w:color w:val="000000"/>
          <w:sz w:val="28"/>
        </w:rPr>
        <w:t>and Capital Redeployment Strategy ~</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color w:val="000000"/>
          <w:sz w:val="24"/>
        </w:rPr>
        <w:t>LAS VEGAS, July 31, 2026</w:t>
      </w:r>
      <w:r>
        <w:rPr>
          <w:color w:val="000000"/>
        </w:rPr>
        <w:t xml:space="preserve"> – </w:t>
      </w:r>
      <w:r>
        <w:rPr>
          <w:rFonts w:ascii="Times New Roman;serif" w:hAnsi="Times New Roman;serif"/>
          <w:b w:val="false"/>
          <w:color w:val="000000"/>
          <w:sz w:val="24"/>
        </w:rPr>
        <w:t xml:space="preserve">Cannae Holdings, Inc. (NYSE: CNNE) ("Cannae" or the "Company") today announces the sale of its ownership stake in The Watkins Company ("Watkins"), a leading flavoring company focused on extracts, spices and seasonings, to KDSA Investment Partners (“KDSA”).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Cannae invested $80 million in Watkins in October 2024 and including transaction sale proceeds, preferred dividends and fees received during Cannae’s ownership, the transaction represents a multiple on invested capital of approximately 1.2x in less than two years, at an IRR of nearly 10%.</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Douglas K. Ammerman, Chairman of Cannae Holdings, commented, "The sale of our investment in Watkins is another step in executing the portfolio transformation strategy laid out by our Board. The transaction monetizes a non-core asset and provides Cannae with additional capital for either future investment opportunities or capital returns to our shareholders."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Ryan R. Caswell, Cannae’s Chief Executive Officer, commented, "We are grateful to the management team and employees of Watkins, as well as KDSA, Mark Jacobs and JR Rigley, for their partnership over the last two years. We are proud of what Watkins accomplished during our ownership and we wish the entire Watkins team continued success in the future."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Cannae will continue to execute on its strategic priorities including transforming its portfolio to concentrate on sports and entertainment related assets, monetizing non-core assets and either redeploying capital into new investments or returning capital to shareholders, with the goal of maximizing long-term shareholder value.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Cannae Holdings, Inc.</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 xml:space="preserve">We primarily acquire interests in operating companies and are actively engaged in managing and operating a core group of those companies. We believe that our long-term ownership and active involvement in the management and operations of companies helps maximize the value of those businesses for our shareholders. We are a long-term owner that secures control and governance rights of other companies primarily to engage in their lines of business, and we have no preset time constraints dictating when we sell or dispose of our businesses. For more information, see </w:t>
      </w:r>
      <w:r>
        <w:rPr>
          <w:rFonts w:ascii="Times New Roman;serif" w:hAnsi="Times New Roman;serif"/>
          <w:b w:val="false"/>
          <w:color w:val="0563C1"/>
          <w:sz w:val="24"/>
        </w:rPr>
        <w:t>cannaeholdings.com</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Forward-Looking Statements and Risk Factors</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This communication includes forward-looking statements within the meaning of the “safe harbor” provisions of the Private Securities Litigation Reform Act of 1995. These statements are not historical facts, but instead represent only our beliefs regarding future events, many of which, by their nature, are inherently uncertain and outside of our control. Forward-looking statements include statements about our business, strategic plans, future performance, return of capital, and the impact </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of our actions on shareholder value, and commitments outlined in this communication or elsewhere. These statements can be identified by words such as “anticipates,” “intends,” “plans,” “seeks,” “believes,” “estimates,” “expects,” and similar references to future periods, or by the inclusion of forecasts or projections. We caution readers not to place undue reliance on forward-looking statements. We expect that certain disclosures made in this communication may be updated or revised in the future as the quality and completeness of our data and methodologies continue to improve. Important factors that could cause actual results to differ materially from expectations are described under the heading “Risk Factors” in our most recent Annual Report on Form 10-K and in other filings we make with the SEC.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Company contact: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Jamie Lillis, Managing Director, Solebury Strategic Communications, 203-428-3223, </w:t>
      </w:r>
    </w:p>
    <w:p>
      <w:pPr>
        <w:pStyle w:val="TextBody"/>
        <w:bidi w:val="0"/>
        <w:spacing w:lineRule="auto" w:line="268"/>
        <w:jc w:val="left"/>
        <w:rPr>
          <w:rFonts w:ascii="Times New Roman;serif" w:hAnsi="Times New Roman;serif"/>
          <w:b w:val="false"/>
          <w:color w:val="0563C1"/>
          <w:sz w:val="24"/>
        </w:rPr>
      </w:pPr>
      <w:r>
        <w:rPr>
          <w:rFonts w:ascii="Times New Roman;serif" w:hAnsi="Times New Roman;serif"/>
          <w:b w:val="false"/>
          <w:color w:val="0563C1"/>
          <w:sz w:val="24"/>
        </w:rPr>
        <w:t>jlillis@soleburystrat.com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1060</Words>
  <Characters>5973</Characters>
  <CharactersWithSpaces>6980</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